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3A" w:rsidRPr="00B8363A" w:rsidRDefault="00B8363A" w:rsidP="00B8363A">
      <w:pPr>
        <w:spacing w:before="240"/>
        <w:contextualSpacing/>
        <w:jc w:val="center"/>
        <w:rPr>
          <w:b/>
          <w:sz w:val="28"/>
          <w:szCs w:val="28"/>
        </w:rPr>
      </w:pPr>
      <w:r w:rsidRPr="00B8363A">
        <w:rPr>
          <w:b/>
          <w:sz w:val="28"/>
          <w:szCs w:val="28"/>
        </w:rPr>
        <w:t>Kwestionariusz do pomiaru kultury doskonałości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6"/>
        <w:gridCol w:w="540"/>
        <w:gridCol w:w="539"/>
        <w:gridCol w:w="539"/>
        <w:gridCol w:w="539"/>
        <w:gridCol w:w="539"/>
      </w:tblGrid>
      <w:tr w:rsidR="00B8363A" w:rsidRPr="000B5C88" w:rsidTr="00253B70">
        <w:tc>
          <w:tcPr>
            <w:tcW w:w="9062" w:type="dxa"/>
            <w:gridSpan w:val="6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2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proofErr w:type="gramStart"/>
            <w:r w:rsidRPr="000B5C88">
              <w:rPr>
                <w:rFonts w:eastAsia="Calibri"/>
                <w:sz w:val="20"/>
                <w:szCs w:val="22"/>
                <w:lang w:eastAsia="en-US"/>
              </w:rPr>
              <w:t>zdecydowanie</w:t>
            </w:r>
            <w:proofErr w:type="gramEnd"/>
            <w:r w:rsidRPr="000B5C88">
              <w:rPr>
                <w:rFonts w:eastAsia="Calibri"/>
                <w:sz w:val="20"/>
                <w:szCs w:val="22"/>
                <w:lang w:eastAsia="en-US"/>
              </w:rPr>
              <w:t xml:space="preserve"> nie zgadzam się</w:t>
            </w:r>
          </w:p>
          <w:p w:rsidR="00B8363A" w:rsidRPr="000B5C88" w:rsidRDefault="00B8363A" w:rsidP="00B8363A">
            <w:pPr>
              <w:numPr>
                <w:ilvl w:val="0"/>
                <w:numId w:val="2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proofErr w:type="gramStart"/>
            <w:r w:rsidRPr="000B5C88">
              <w:rPr>
                <w:rFonts w:eastAsia="Calibri"/>
                <w:sz w:val="20"/>
                <w:szCs w:val="22"/>
                <w:lang w:eastAsia="en-US"/>
              </w:rPr>
              <w:t>nie</w:t>
            </w:r>
            <w:proofErr w:type="gramEnd"/>
            <w:r w:rsidRPr="000B5C88">
              <w:rPr>
                <w:rFonts w:eastAsia="Calibri"/>
                <w:sz w:val="20"/>
                <w:szCs w:val="22"/>
                <w:lang w:eastAsia="en-US"/>
              </w:rPr>
              <w:t xml:space="preserve"> zgadzam się </w:t>
            </w:r>
          </w:p>
          <w:p w:rsidR="00B8363A" w:rsidRPr="000B5C88" w:rsidRDefault="00B8363A" w:rsidP="00B8363A">
            <w:pPr>
              <w:numPr>
                <w:ilvl w:val="0"/>
                <w:numId w:val="2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proofErr w:type="gramStart"/>
            <w:r w:rsidRPr="000B5C88">
              <w:rPr>
                <w:rFonts w:eastAsia="Calibri"/>
                <w:sz w:val="20"/>
                <w:szCs w:val="22"/>
                <w:lang w:eastAsia="en-US"/>
              </w:rPr>
              <w:t>i</w:t>
            </w:r>
            <w:proofErr w:type="gramEnd"/>
            <w:r w:rsidRPr="000B5C88">
              <w:rPr>
                <w:rFonts w:eastAsia="Calibri"/>
                <w:sz w:val="20"/>
                <w:szCs w:val="22"/>
                <w:lang w:eastAsia="en-US"/>
              </w:rPr>
              <w:t xml:space="preserve"> tak i nie</w:t>
            </w:r>
          </w:p>
          <w:p w:rsidR="00B8363A" w:rsidRPr="000B5C88" w:rsidRDefault="00B8363A" w:rsidP="00B8363A">
            <w:pPr>
              <w:numPr>
                <w:ilvl w:val="0"/>
                <w:numId w:val="2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proofErr w:type="gramStart"/>
            <w:r w:rsidRPr="000B5C88">
              <w:rPr>
                <w:rFonts w:eastAsia="Calibri"/>
                <w:sz w:val="20"/>
                <w:szCs w:val="22"/>
                <w:lang w:eastAsia="en-US"/>
              </w:rPr>
              <w:t>zgadzam</w:t>
            </w:r>
            <w:proofErr w:type="gramEnd"/>
            <w:r w:rsidRPr="000B5C88">
              <w:rPr>
                <w:rFonts w:eastAsia="Calibri"/>
                <w:sz w:val="20"/>
                <w:szCs w:val="22"/>
                <w:lang w:eastAsia="en-US"/>
              </w:rPr>
              <w:t xml:space="preserve"> się </w:t>
            </w:r>
          </w:p>
          <w:p w:rsidR="00B8363A" w:rsidRPr="000B5C88" w:rsidRDefault="00B8363A" w:rsidP="00B8363A">
            <w:pPr>
              <w:numPr>
                <w:ilvl w:val="0"/>
                <w:numId w:val="2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proofErr w:type="gramStart"/>
            <w:r w:rsidRPr="000B5C88">
              <w:rPr>
                <w:rFonts w:eastAsia="Calibri"/>
                <w:sz w:val="20"/>
                <w:szCs w:val="22"/>
                <w:lang w:eastAsia="en-US"/>
              </w:rPr>
              <w:t>zdecydowanie</w:t>
            </w:r>
            <w:proofErr w:type="gramEnd"/>
            <w:r w:rsidRPr="000B5C88">
              <w:rPr>
                <w:rFonts w:eastAsia="Calibri"/>
                <w:sz w:val="20"/>
                <w:szCs w:val="22"/>
                <w:lang w:eastAsia="en-US"/>
              </w:rPr>
              <w:t xml:space="preserve"> zgadzam się 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696" w:type="dxa"/>
            <w:gridSpan w:val="5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Liczba wskazań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253B70">
            <w:pPr>
              <w:jc w:val="left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b/>
                <w:sz w:val="20"/>
                <w:szCs w:val="22"/>
                <w:lang w:eastAsia="en-US"/>
              </w:rPr>
              <w:t>Kryterium 1. Strategiczne przywództwo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3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5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Najwyższe kierownictwo opracowało strategię z naciskiem na doskonalenie produktów/usług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51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21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Najwyższe kierownictwo stwarza warunki po temu, by wszyscy pracownicy utożsamiali się z ideą ciągłego doskonalenia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49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18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Najwyższe kierownictwo aktywnie promuje i komunikuje czytelnie ideę ciągłego doskonalenia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37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22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Najwyższe kierownictwo traktuje swoich pracowników jako strategiczne zasoby, zasługujące na doskonalenie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29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253B70">
            <w:pPr>
              <w:contextualSpacing/>
              <w:jc w:val="left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b/>
                <w:sz w:val="20"/>
                <w:szCs w:val="22"/>
                <w:lang w:eastAsia="en-US"/>
              </w:rPr>
              <w:t>Kryterium 2. Ukierunkowanie na klienta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3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5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Wszyscy pracownicy na co dzień demonstrują doskonałość na rzecz spełnienia potrzeb klienta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33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7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Organizacja stara się o to, aby na bieżąco doskonalić swoją zdolność do spełnienia potrzeb klienta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17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28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27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8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Wyniki pomiaru satysfakcji klienta dowodzą, że organizacja na bieżąco doskonali swoją zdolność w spełnianiu potrzeb klienta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30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7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253B70">
            <w:pPr>
              <w:contextualSpacing/>
              <w:jc w:val="left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b/>
                <w:sz w:val="20"/>
                <w:szCs w:val="22"/>
                <w:lang w:eastAsia="en-US"/>
              </w:rPr>
              <w:t>Kryterium 3. Zaangażowanie pracowników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3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5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Pracownicy na co dzień chętnie wprowadzają udoskonalenia i innowacje w swoim miejscu pracy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27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32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Pracownicy na co dzień chętnie dzielą się swoimi pomysłami na rzecz doskonalenia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30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21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Pracownicy chętnie uczestniczą w szkoleniach podnoszących ich kwalifikacje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35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39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Pracownicy interesują się, jak wyniki ich pracy wpływają na doskonalenie organizacji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20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253B70">
            <w:pPr>
              <w:contextualSpacing/>
              <w:jc w:val="left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b/>
                <w:sz w:val="20"/>
                <w:szCs w:val="22"/>
                <w:lang w:eastAsia="en-US"/>
              </w:rPr>
              <w:t>Kryterium 4. Zarządzanie zasobami ludzkimi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3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5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Rekrutacja pracowników opiera się na zasadzie „najlepszy człowiek na właściwym miejscu”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27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19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 xml:space="preserve">W organizacji docenia się i wspiera najlepszych pracowników i ich talenty 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30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41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14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W organizacji dba się o relacje uczeń-mistrz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20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System awansowy w organizacji opiera się na kryterium doskonałości, z perspektywy osiągniętych efektów na danym stanowisku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28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11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Organizacja dba o dobrą i czytelną komunikację pomiędzy pracownikami na rzecz wprowadzania pomysłów służących doskonaleniu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23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34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7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253B70">
            <w:pPr>
              <w:contextualSpacing/>
              <w:jc w:val="left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b/>
                <w:sz w:val="20"/>
                <w:szCs w:val="22"/>
                <w:lang w:eastAsia="en-US"/>
              </w:rPr>
              <w:t>Kryterium 5. Zarządzanie procesami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3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5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Dla procesów ustanawia się cele uwzględniające najwyższe standardy wykonania i dokumentuje się je w procedurach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55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30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Doskonałość wykonania pracy jest podstawową zasadą funkcjonowania w organizacji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46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28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lastRenderedPageBreak/>
              <w:t>Procesy są na bieżąco monitorowane pod kątem oceny spełnienia przyjętych standardów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45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31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Pracownicy nie dopuszczają do odstępstw z przyjętych standardów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36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20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Procesy są na bieżąco doskonalone z uwzględnieniem najlepszych, dostępnych technologii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30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25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Błędy w procesie się nie zdarzają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40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15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253B70">
            <w:pPr>
              <w:contextualSpacing/>
              <w:jc w:val="left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b/>
                <w:sz w:val="20"/>
                <w:szCs w:val="22"/>
                <w:lang w:eastAsia="en-US"/>
              </w:rPr>
              <w:t>Kryterium 6. Ciągłe doskonalenie i uczenie się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3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5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W organizacji istnieje przekonanie, że ciągłe doskonalenie się opłaca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28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11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W organizacji przeznacza się środki na ciągłe doskonalenie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30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16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W organizacji stosuje się metody i techniki ciągłego doskonalenia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25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7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Organizacja włącza swoich dostawców i kooperantów w proces ciągłego doskonalenia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Osiągnięcia pracowników są prezentowane w widocznym miejscu celem ich wyróżnienia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35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Edukacja i szkolenie na wszystkich szczeblach to priorytet w organizacji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28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9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253B70">
            <w:pPr>
              <w:contextualSpacing/>
              <w:jc w:val="left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b/>
                <w:sz w:val="20"/>
                <w:szCs w:val="22"/>
                <w:lang w:eastAsia="en-US"/>
              </w:rPr>
              <w:t xml:space="preserve">Kryterium 7. Prowadzenie </w:t>
            </w:r>
            <w:proofErr w:type="spellStart"/>
            <w:r w:rsidRPr="000B5C88">
              <w:rPr>
                <w:rFonts w:eastAsia="Calibri"/>
                <w:b/>
                <w:sz w:val="20"/>
                <w:szCs w:val="22"/>
                <w:lang w:eastAsia="en-US"/>
              </w:rPr>
              <w:t>benchmarkingu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3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5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W organizacji praktykuje się na bieżąco porównujemy się z innymi organizacjami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13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26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28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18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W organizacji a bieżąco porównujemy swoje własne osiągnięcia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27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18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Działania porównawcze przynoszą wymierne rezultaty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16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253B70">
            <w:pPr>
              <w:contextualSpacing/>
              <w:jc w:val="left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b/>
                <w:sz w:val="20"/>
                <w:szCs w:val="22"/>
                <w:lang w:eastAsia="en-US"/>
              </w:rPr>
              <w:t>Kryterium 8. Upełnomocnienie i praca zespołowa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3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4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</w:rPr>
            </w:pPr>
            <w:r w:rsidRPr="000B5C88">
              <w:rPr>
                <w:rFonts w:eastAsia="Calibri"/>
                <w:sz w:val="20"/>
                <w:szCs w:val="22"/>
              </w:rPr>
              <w:t>5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 xml:space="preserve">Pracownicy są zawsze zachęcani do zgłaszania pomysłów w zakresie doskonalenia 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16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20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15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Pomysły pracowników w zakresie doskonalenia na pewno zostaną rozważone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14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15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Pracownicy są świadomi swojego wpływu na doskonalenie w organizacji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17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33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7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Pracownicy otrzymują pełne wsparcie, gdy zespołowo lub indywidualnie proponują określone udoskonalenia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33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Pracownicy są zachęcani do pracy zespołowej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28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27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10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253B70">
            <w:pPr>
              <w:jc w:val="left"/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b/>
                <w:sz w:val="20"/>
                <w:szCs w:val="22"/>
                <w:lang w:eastAsia="en-US"/>
              </w:rPr>
              <w:t>Kryterium 9. Kreatywność i innowacje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W organizacji nagradza się pracowników za ich kreatywność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21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15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8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Organizacja na bieżąco śledzi różne innowacje, które mogą jej dotyczyć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25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29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25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Organizacja współpracuje z różnymi instytucjami badawczo-rozwojowymi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42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35</w:t>
            </w:r>
          </w:p>
        </w:tc>
      </w:tr>
      <w:tr w:rsidR="00B8363A" w:rsidRPr="000B5C88" w:rsidTr="00253B70">
        <w:tc>
          <w:tcPr>
            <w:tcW w:w="6366" w:type="dxa"/>
            <w:shd w:val="clear" w:color="auto" w:fill="auto"/>
          </w:tcPr>
          <w:p w:rsidR="00B8363A" w:rsidRPr="000B5C88" w:rsidRDefault="00B8363A" w:rsidP="00B8363A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W organizacji na bieżąco wprowadza się innowacje o różnym charakterze</w:t>
            </w:r>
          </w:p>
        </w:tc>
        <w:tc>
          <w:tcPr>
            <w:tcW w:w="540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24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30</w:t>
            </w:r>
          </w:p>
        </w:tc>
        <w:tc>
          <w:tcPr>
            <w:tcW w:w="539" w:type="dxa"/>
            <w:shd w:val="clear" w:color="auto" w:fill="auto"/>
          </w:tcPr>
          <w:p w:rsidR="00B8363A" w:rsidRPr="000B5C88" w:rsidRDefault="00B8363A" w:rsidP="00253B70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0B5C88">
              <w:rPr>
                <w:rFonts w:eastAsia="Calibri"/>
                <w:sz w:val="20"/>
                <w:szCs w:val="22"/>
                <w:lang w:eastAsia="en-US"/>
              </w:rPr>
              <w:t>25</w:t>
            </w:r>
          </w:p>
        </w:tc>
      </w:tr>
    </w:tbl>
    <w:p w:rsidR="00B8363A" w:rsidRDefault="00B8363A" w:rsidP="00B8363A">
      <w:pPr>
        <w:pBdr>
          <w:bottom w:val="single" w:sz="6" w:space="1" w:color="auto"/>
        </w:pBdr>
        <w:contextualSpacing/>
        <w:jc w:val="left"/>
        <w:rPr>
          <w:rFonts w:eastAsia="Calibri"/>
          <w:sz w:val="18"/>
          <w:szCs w:val="18"/>
          <w:lang w:val="en-US" w:eastAsia="en-US"/>
        </w:rPr>
      </w:pPr>
      <w:proofErr w:type="spellStart"/>
      <w:r w:rsidRPr="00141E5F">
        <w:rPr>
          <w:rFonts w:eastAsia="Calibri"/>
          <w:sz w:val="18"/>
          <w:szCs w:val="18"/>
          <w:lang w:val="en-US" w:eastAsia="en-US"/>
        </w:rPr>
        <w:t>Źródło</w:t>
      </w:r>
      <w:proofErr w:type="spellEnd"/>
      <w:r w:rsidRPr="00141E5F">
        <w:rPr>
          <w:rFonts w:eastAsia="Calibri"/>
          <w:sz w:val="18"/>
          <w:szCs w:val="18"/>
          <w:lang w:val="en-US" w:eastAsia="en-US"/>
        </w:rPr>
        <w:t xml:space="preserve">: </w:t>
      </w:r>
      <w:proofErr w:type="spellStart"/>
      <w:r w:rsidRPr="00141E5F">
        <w:rPr>
          <w:rFonts w:eastAsia="Calibri"/>
          <w:sz w:val="18"/>
          <w:szCs w:val="18"/>
          <w:lang w:val="en-US" w:eastAsia="en-US"/>
        </w:rPr>
        <w:t>Opracowanie</w:t>
      </w:r>
      <w:proofErr w:type="spellEnd"/>
      <w:r w:rsidRPr="00141E5F">
        <w:rPr>
          <w:rFonts w:eastAsia="Calibri"/>
          <w:sz w:val="18"/>
          <w:szCs w:val="18"/>
          <w:lang w:val="en-US" w:eastAsia="en-US"/>
        </w:rPr>
        <w:t xml:space="preserve"> </w:t>
      </w:r>
      <w:proofErr w:type="spellStart"/>
      <w:r w:rsidRPr="00141E5F">
        <w:rPr>
          <w:rFonts w:eastAsia="Calibri"/>
          <w:sz w:val="18"/>
          <w:szCs w:val="18"/>
          <w:lang w:val="en-US" w:eastAsia="en-US"/>
        </w:rPr>
        <w:t>własne</w:t>
      </w:r>
      <w:proofErr w:type="spellEnd"/>
      <w:r w:rsidRPr="00141E5F">
        <w:rPr>
          <w:rFonts w:eastAsia="Calibri"/>
          <w:sz w:val="18"/>
          <w:szCs w:val="18"/>
          <w:lang w:val="en-US" w:eastAsia="en-US"/>
        </w:rPr>
        <w:t xml:space="preserve"> </w:t>
      </w:r>
      <w:proofErr w:type="spellStart"/>
      <w:r w:rsidRPr="00141E5F">
        <w:rPr>
          <w:rFonts w:eastAsia="Calibri"/>
          <w:sz w:val="18"/>
          <w:szCs w:val="18"/>
          <w:lang w:val="en-US" w:eastAsia="en-US"/>
        </w:rPr>
        <w:t>na</w:t>
      </w:r>
      <w:proofErr w:type="spellEnd"/>
      <w:r w:rsidRPr="00141E5F">
        <w:rPr>
          <w:rFonts w:eastAsia="Calibri"/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141E5F">
        <w:rPr>
          <w:rFonts w:eastAsia="Calibri"/>
          <w:sz w:val="18"/>
          <w:szCs w:val="18"/>
          <w:lang w:val="en-US" w:eastAsia="en-US"/>
        </w:rPr>
        <w:t>podst</w:t>
      </w:r>
      <w:proofErr w:type="spellEnd"/>
      <w:r w:rsidRPr="00141E5F">
        <w:rPr>
          <w:rFonts w:eastAsia="Calibri"/>
          <w:sz w:val="18"/>
          <w:szCs w:val="18"/>
          <w:lang w:val="en-US" w:eastAsia="en-US"/>
        </w:rPr>
        <w:t>.:</w:t>
      </w:r>
      <w:proofErr w:type="gramEnd"/>
      <w:r w:rsidRPr="00141E5F">
        <w:rPr>
          <w:rFonts w:eastAsia="Calibri"/>
          <w:sz w:val="18"/>
          <w:szCs w:val="18"/>
          <w:lang w:val="en-US" w:eastAsia="en-US"/>
        </w:rPr>
        <w:t xml:space="preserve"> [Rahman, </w:t>
      </w:r>
      <w:proofErr w:type="spellStart"/>
      <w:r w:rsidRPr="00141E5F">
        <w:rPr>
          <w:rFonts w:eastAsia="Calibri"/>
          <w:sz w:val="18"/>
          <w:szCs w:val="18"/>
          <w:lang w:val="en-US" w:eastAsia="en-US"/>
        </w:rPr>
        <w:t>Voon</w:t>
      </w:r>
      <w:proofErr w:type="spellEnd"/>
      <w:r w:rsidRPr="00141E5F">
        <w:rPr>
          <w:rFonts w:eastAsia="Calibri"/>
          <w:sz w:val="18"/>
          <w:szCs w:val="18"/>
          <w:lang w:val="en-US" w:eastAsia="en-US"/>
        </w:rPr>
        <w:t xml:space="preserve">, </w:t>
      </w:r>
      <w:proofErr w:type="spellStart"/>
      <w:r w:rsidRPr="00141E5F">
        <w:rPr>
          <w:rFonts w:eastAsia="Calibri"/>
          <w:sz w:val="18"/>
          <w:szCs w:val="18"/>
          <w:lang w:val="en-US" w:eastAsia="en-US"/>
        </w:rPr>
        <w:t>Firdaus</w:t>
      </w:r>
      <w:proofErr w:type="spellEnd"/>
      <w:r w:rsidRPr="00141E5F">
        <w:rPr>
          <w:rFonts w:eastAsia="Calibri"/>
          <w:sz w:val="18"/>
          <w:szCs w:val="18"/>
          <w:lang w:val="en-US" w:eastAsia="en-US"/>
        </w:rPr>
        <w:t>, 2016, s. 84-92].</w:t>
      </w:r>
    </w:p>
    <w:p w:rsidR="00B8363A" w:rsidRDefault="00B8363A" w:rsidP="00B8363A">
      <w:pPr>
        <w:pBdr>
          <w:bottom w:val="single" w:sz="6" w:space="1" w:color="auto"/>
        </w:pBdr>
        <w:contextualSpacing/>
        <w:jc w:val="left"/>
        <w:rPr>
          <w:rFonts w:eastAsia="Calibri"/>
          <w:sz w:val="18"/>
          <w:szCs w:val="18"/>
          <w:lang w:val="en-US" w:eastAsia="en-US"/>
        </w:rPr>
      </w:pPr>
    </w:p>
    <w:p w:rsidR="00B8363A" w:rsidRDefault="00B8363A" w:rsidP="00B8363A">
      <w:pPr>
        <w:pBdr>
          <w:bottom w:val="single" w:sz="6" w:space="1" w:color="auto"/>
        </w:pBdr>
        <w:contextualSpacing/>
        <w:jc w:val="left"/>
        <w:rPr>
          <w:rFonts w:eastAsia="Calibri"/>
          <w:sz w:val="18"/>
          <w:szCs w:val="18"/>
          <w:lang w:val="en-US" w:eastAsia="en-US"/>
        </w:rPr>
      </w:pPr>
      <w:bookmarkStart w:id="0" w:name="_GoBack"/>
      <w:bookmarkEnd w:id="0"/>
    </w:p>
    <w:sectPr w:rsidR="00B8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796"/>
    <w:multiLevelType w:val="hybridMultilevel"/>
    <w:tmpl w:val="E1FE69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EC2993"/>
    <w:multiLevelType w:val="hybridMultilevel"/>
    <w:tmpl w:val="8B4A3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2"/>
    <w:rsid w:val="00131BD2"/>
    <w:rsid w:val="00405060"/>
    <w:rsid w:val="00B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B386"/>
  <w15:chartTrackingRefBased/>
  <w15:docId w15:val="{B57CAEFB-82AD-4565-B4B4-BFB93833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63A"/>
    <w:pPr>
      <w:spacing w:after="0" w:line="24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3823</Characters>
  <Application>Microsoft Office Word</Application>
  <DocSecurity>0</DocSecurity>
  <Lines>31</Lines>
  <Paragraphs>8</Paragraphs>
  <ScaleCrop>false</ScaleCrop>
  <Company>Uniwersyet Gdański, Wydział Zarządzania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2</cp:revision>
  <dcterms:created xsi:type="dcterms:W3CDTF">2019-11-07T16:32:00Z</dcterms:created>
  <dcterms:modified xsi:type="dcterms:W3CDTF">2019-11-07T16:33:00Z</dcterms:modified>
</cp:coreProperties>
</file>